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65A2" w14:textId="77777777" w:rsidR="00701EE1" w:rsidRDefault="001D37BB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1D37BB">
        <w:rPr>
          <w:rFonts w:ascii="標楷體" w:eastAsia="標楷體" w:hAnsi="標楷體" w:hint="eastAsia"/>
          <w:b/>
          <w:bCs/>
          <w:sz w:val="36"/>
          <w:szCs w:val="32"/>
        </w:rPr>
        <w:t>桃園市政府表揚傑出女性公務員實施要點</w:t>
      </w:r>
    </w:p>
    <w:p w14:paraId="3F152C71" w14:textId="10CF5EE5" w:rsidR="00CD1598" w:rsidRPr="001366BE" w:rsidRDefault="00FF20A4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第七點修正</w:t>
      </w:r>
      <w:r w:rsidR="002B525A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06E346C0" w14:textId="4467558C" w:rsidR="00D63D18" w:rsidRPr="00D63D18" w:rsidRDefault="00D63D18" w:rsidP="00D63D18">
      <w:pPr>
        <w:spacing w:line="480" w:lineRule="exact"/>
        <w:ind w:left="546" w:hangingChars="195" w:hanging="546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>七、本府傑出女性公務員選拔，由本府秘書長召集副秘書長、法務局局長、人事處處長、政風處處長及智慧城鄉發展委員會主任委員組成專案小組審議，並得邀請外部專家學者擔任專案小組委員，專案小組委員任一性別比例不得低於三分之一。</w:t>
      </w:r>
    </w:p>
    <w:p w14:paraId="46597B86" w14:textId="581DE3EE" w:rsidR="00FF20A4" w:rsidRPr="00FF20A4" w:rsidRDefault="00D63D18" w:rsidP="00D63D18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 xml:space="preserve">    前項審議結果由本府人事處簽陳市長核定，核定人數以十名為原則。但遴薦人數超過五十人，核定人數以不超過遴薦人數之百分之二十為限。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D37BB"/>
    <w:rsid w:val="002B525A"/>
    <w:rsid w:val="003B4EDE"/>
    <w:rsid w:val="00701EE1"/>
    <w:rsid w:val="00CD1598"/>
    <w:rsid w:val="00D63D18"/>
    <w:rsid w:val="00D94A5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2024-01-25T06:48:00Z</dcterms:created>
  <dcterms:modified xsi:type="dcterms:W3CDTF">2024-01-25T06:48:00Z</dcterms:modified>
</cp:coreProperties>
</file>