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FCF3B" w14:textId="3E108459" w:rsidR="00FF7BFF" w:rsidRPr="00B349A0" w:rsidRDefault="00FF7BFF" w:rsidP="00C77175">
      <w:pPr>
        <w:pStyle w:val="HTML"/>
        <w:spacing w:line="460" w:lineRule="exact"/>
        <w:rPr>
          <w:sz w:val="23"/>
          <w:szCs w:val="23"/>
        </w:rPr>
      </w:pPr>
      <w:bookmarkStart w:id="0" w:name="_GoBack"/>
      <w:bookmarkEnd w:id="0"/>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p>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w:t>
      </w:r>
      <w:proofErr w:type="gramStart"/>
      <w:r w:rsidRPr="00B349A0">
        <w:rPr>
          <w:rFonts w:ascii="Times New Roman" w:eastAsia="標楷體" w:hAnsi="標楷體" w:cs="Times New Roman" w:hint="eastAsia"/>
          <w:sz w:val="28"/>
          <w:szCs w:val="28"/>
        </w:rPr>
        <w:t>爰</w:t>
      </w:r>
      <w:proofErr w:type="gramEnd"/>
      <w:r w:rsidRPr="00B349A0">
        <w:rPr>
          <w:rFonts w:ascii="Times New Roman" w:eastAsia="標楷體" w:hAnsi="標楷體" w:cs="Times New Roman" w:hint="eastAsia"/>
          <w:sz w:val="28"/>
          <w:szCs w:val="28"/>
        </w:rPr>
        <w:t>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w:t>
            </w:r>
            <w:proofErr w:type="gramStart"/>
            <w:r w:rsidR="009909DD" w:rsidRPr="009909DD">
              <w:rPr>
                <w:rFonts w:ascii="標楷體" w:eastAsia="標楷體" w:hAnsi="標楷體" w:cs="Times New Roman" w:hint="eastAsia"/>
                <w:szCs w:val="24"/>
              </w:rPr>
              <w:t>務</w:t>
            </w:r>
            <w:proofErr w:type="gramEnd"/>
            <w:r w:rsidR="009909DD" w:rsidRPr="009909DD">
              <w:rPr>
                <w:rFonts w:ascii="標楷體" w:eastAsia="標楷體" w:hAnsi="標楷體" w:cs="Times New Roman" w:hint="eastAsia"/>
                <w:szCs w:val="24"/>
              </w:rPr>
              <w:t>，並指揮、監督所屬人員；副主任襄助主任處理處</w:t>
            </w:r>
            <w:proofErr w:type="gramStart"/>
            <w:r w:rsidR="009909DD" w:rsidRPr="009909DD">
              <w:rPr>
                <w:rFonts w:ascii="標楷體" w:eastAsia="標楷體" w:hAnsi="標楷體" w:cs="Times New Roman" w:hint="eastAsia"/>
                <w:szCs w:val="24"/>
              </w:rPr>
              <w:t>務</w:t>
            </w:r>
            <w:proofErr w:type="gramEnd"/>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proofErr w:type="gramStart"/>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w:t>
            </w:r>
            <w:proofErr w:type="gramEnd"/>
            <w:r w:rsidR="001251B9" w:rsidRPr="007F0EE6">
              <w:rPr>
                <w:rFonts w:ascii="標楷體" w:eastAsia="標楷體" w:hAnsi="標楷體" w:cs="Times New Roman" w:hint="eastAsia"/>
                <w:szCs w:val="24"/>
              </w:rPr>
              <w:t>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proofErr w:type="gramStart"/>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w:t>
            </w:r>
            <w:proofErr w:type="gramEnd"/>
            <w:r w:rsidR="008F40E2" w:rsidRPr="008B04C3">
              <w:rPr>
                <w:rFonts w:ascii="標楷體" w:eastAsia="標楷體" w:hAnsi="標楷體" w:cs="Times New Roman" w:hint="eastAsia"/>
                <w:szCs w:val="24"/>
              </w:rPr>
              <w:t>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w:t>
            </w:r>
            <w:proofErr w:type="gramStart"/>
            <w:r w:rsidRPr="009909DD">
              <w:rPr>
                <w:rFonts w:ascii="標楷體" w:eastAsia="標楷體" w:hAnsi="標楷體" w:cs="Times New Roman" w:hint="eastAsia"/>
                <w:szCs w:val="24"/>
              </w:rPr>
              <w:t>之訂修</w:t>
            </w:r>
            <w:proofErr w:type="gramEnd"/>
            <w:r w:rsidRPr="009909DD">
              <w:rPr>
                <w:rFonts w:ascii="標楷體" w:eastAsia="標楷體" w:hAnsi="標楷體" w:cs="Times New Roman" w:hint="eastAsia"/>
                <w:szCs w:val="24"/>
              </w:rPr>
              <w:t>、解釋及協調推動。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lastRenderedPageBreak/>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proofErr w:type="gramStart"/>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w:t>
            </w:r>
            <w:proofErr w:type="gramEnd"/>
            <w:r w:rsidR="00E232F6" w:rsidRPr="00AF1E18">
              <w:rPr>
                <w:rFonts w:ascii="標楷體" w:eastAsia="標楷體" w:hAnsi="標楷體" w:cs="Times New Roman" w:hint="eastAsia"/>
                <w:szCs w:val="24"/>
              </w:rPr>
              <w:t>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w:t>
            </w:r>
            <w:proofErr w:type="gramStart"/>
            <w:r w:rsidR="00C169D8" w:rsidRPr="00AF1E18">
              <w:rPr>
                <w:rFonts w:ascii="標楷體" w:eastAsia="標楷體" w:hAnsi="標楷體" w:cs="Times New Roman" w:hint="eastAsia"/>
                <w:szCs w:val="24"/>
              </w:rPr>
              <w:t>科技</w:t>
            </w:r>
            <w:r w:rsidRPr="00AF1E18">
              <w:rPr>
                <w:rFonts w:ascii="標楷體" w:eastAsia="標楷體" w:hAnsi="標楷體" w:cs="Times New Roman" w:hint="eastAsia"/>
                <w:szCs w:val="24"/>
              </w:rPr>
              <w:t>組掌理事</w:t>
            </w:r>
            <w:proofErr w:type="gramEnd"/>
            <w:r w:rsidRPr="00AF1E18">
              <w:rPr>
                <w:rFonts w:ascii="標楷體" w:eastAsia="標楷體" w:hAnsi="標楷體" w:cs="Times New Roman" w:hint="eastAsia"/>
                <w:szCs w:val="24"/>
              </w:rPr>
              <w:t>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proofErr w:type="gramStart"/>
            <w:r w:rsidRPr="009909DD">
              <w:rPr>
                <w:rFonts w:ascii="標楷體" w:eastAsia="標楷體" w:hAnsi="標楷體" w:cs="Times New Roman" w:hint="eastAsia"/>
                <w:szCs w:val="24"/>
              </w:rPr>
              <w:t>印信典守及</w:t>
            </w:r>
            <w:proofErr w:type="gramEnd"/>
            <w:r w:rsidRPr="009909DD">
              <w:rPr>
                <w:rFonts w:ascii="標楷體" w:eastAsia="標楷體" w:hAnsi="標楷體" w:cs="Times New Roman" w:hint="eastAsia"/>
                <w:szCs w:val="24"/>
              </w:rPr>
              <w:t>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w:t>
            </w:r>
            <w:proofErr w:type="gramStart"/>
            <w:r w:rsidRPr="009909DD">
              <w:rPr>
                <w:rFonts w:ascii="標楷體" w:eastAsia="標楷體" w:hAnsi="標楷體" w:cs="Times New Roman" w:hint="eastAsia"/>
                <w:szCs w:val="24"/>
              </w:rPr>
              <w:t>繕</w:t>
            </w:r>
            <w:proofErr w:type="gramEnd"/>
            <w:r w:rsidRPr="009909DD">
              <w:rPr>
                <w:rFonts w:ascii="標楷體" w:eastAsia="標楷體" w:hAnsi="標楷體" w:cs="Times New Roman" w:hint="eastAsia"/>
                <w:szCs w:val="24"/>
              </w:rPr>
              <w:t>、採購、財產管理等事務之處理及管考。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lastRenderedPageBreak/>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w:t>
            </w:r>
            <w:proofErr w:type="gramStart"/>
            <w:r w:rsidR="007F4E07">
              <w:rPr>
                <w:rFonts w:ascii="標楷體" w:eastAsia="標楷體" w:hAnsi="標楷體" w:cs="Times New Roman" w:hint="eastAsia"/>
                <w:szCs w:val="24"/>
              </w:rPr>
              <w:t>本處</w:t>
            </w:r>
            <w:r w:rsidR="00901228" w:rsidRPr="007F0EE6">
              <w:rPr>
                <w:rFonts w:ascii="標楷體" w:eastAsia="標楷體" w:hAnsi="標楷體" w:cs="Times New Roman" w:hint="eastAsia"/>
                <w:szCs w:val="24"/>
              </w:rPr>
              <w:t>歲計</w:t>
            </w:r>
            <w:proofErr w:type="gramEnd"/>
            <w:r w:rsidR="00901228" w:rsidRPr="007F0EE6">
              <w:rPr>
                <w:rFonts w:ascii="標楷體" w:eastAsia="標楷體" w:hAnsi="標楷體" w:cs="Times New Roman" w:hint="eastAsia"/>
                <w:szCs w:val="24"/>
              </w:rPr>
              <w:t>、會計及統計事項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7D00" w14:textId="77777777" w:rsidR="00066C35" w:rsidRDefault="00066C35">
      <w:r>
        <w:separator/>
      </w:r>
    </w:p>
  </w:endnote>
  <w:endnote w:type="continuationSeparator" w:id="0">
    <w:p w14:paraId="2A55E178" w14:textId="77777777" w:rsidR="00066C35" w:rsidRDefault="0006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790256"/>
      <w:docPartObj>
        <w:docPartGallery w:val="Page Numbers (Bottom of Page)"/>
        <w:docPartUnique/>
      </w:docPartObj>
    </w:sdtPr>
    <w:sdtEndPr/>
    <w:sdtContent>
      <w:p w14:paraId="5DEB9932" w14:textId="21768115" w:rsidR="001641D1" w:rsidRDefault="001641D1">
        <w:pPr>
          <w:pStyle w:val="a3"/>
          <w:jc w:val="center"/>
        </w:pPr>
        <w:r>
          <w:fldChar w:fldCharType="begin"/>
        </w:r>
        <w:r>
          <w:instrText>PAGE   \* MERGEFORMAT</w:instrText>
        </w:r>
        <w:r>
          <w:fldChar w:fldCharType="separate"/>
        </w:r>
        <w:r w:rsidR="00213872" w:rsidRPr="00213872">
          <w:rPr>
            <w:noProof/>
            <w:lang w:val="zh-TW"/>
          </w:rPr>
          <w:t>4</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75901"/>
      <w:docPartObj>
        <w:docPartGallery w:val="Page Numbers (Bottom of Page)"/>
        <w:docPartUnique/>
      </w:docPartObj>
    </w:sdtPr>
    <w:sdtEndPr/>
    <w:sdtContent>
      <w:p w14:paraId="55CC2F47" w14:textId="0C67F0F0" w:rsidR="00AF1E1F" w:rsidRDefault="00AF1E1F">
        <w:pPr>
          <w:pStyle w:val="a3"/>
          <w:jc w:val="center"/>
        </w:pPr>
        <w:r>
          <w:fldChar w:fldCharType="begin"/>
        </w:r>
        <w:r>
          <w:instrText>PAGE   \* MERGEFORMAT</w:instrText>
        </w:r>
        <w:r>
          <w:fldChar w:fldCharType="separate"/>
        </w:r>
        <w:r w:rsidR="00213872" w:rsidRPr="00213872">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647F" w14:textId="77777777" w:rsidR="00066C35" w:rsidRDefault="00066C35">
      <w:r>
        <w:rPr>
          <w:rFonts w:hint="eastAsia"/>
        </w:rPr>
        <w:separator/>
      </w:r>
    </w:p>
  </w:footnote>
  <w:footnote w:type="continuationSeparator" w:id="0">
    <w:p w14:paraId="65A21067" w14:textId="77777777" w:rsidR="00066C35" w:rsidRDefault="00066C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9F"/>
    <w:rsid w:val="000054EC"/>
    <w:rsid w:val="0001594F"/>
    <w:rsid w:val="0001668E"/>
    <w:rsid w:val="00021E8F"/>
    <w:rsid w:val="00043DD3"/>
    <w:rsid w:val="00050FE1"/>
    <w:rsid w:val="00051592"/>
    <w:rsid w:val="00054CAD"/>
    <w:rsid w:val="0006519C"/>
    <w:rsid w:val="00066C35"/>
    <w:rsid w:val="000756A8"/>
    <w:rsid w:val="00085F01"/>
    <w:rsid w:val="000A2DA6"/>
    <w:rsid w:val="000C3F93"/>
    <w:rsid w:val="000D4A98"/>
    <w:rsid w:val="000D7118"/>
    <w:rsid w:val="000E1261"/>
    <w:rsid w:val="000E2293"/>
    <w:rsid w:val="000E23C1"/>
    <w:rsid w:val="00102F35"/>
    <w:rsid w:val="00111CA3"/>
    <w:rsid w:val="001124D2"/>
    <w:rsid w:val="001251B9"/>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13872"/>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72EA"/>
    <w:rsid w:val="004D45E6"/>
    <w:rsid w:val="004F5408"/>
    <w:rsid w:val="0050461A"/>
    <w:rsid w:val="00512840"/>
    <w:rsid w:val="00512A56"/>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DB7"/>
    <w:rsid w:val="00915AB5"/>
    <w:rsid w:val="009310AE"/>
    <w:rsid w:val="00931AA2"/>
    <w:rsid w:val="009459BE"/>
    <w:rsid w:val="00965A4A"/>
    <w:rsid w:val="00965FE3"/>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A554-436C-4D7D-B5C7-4859179B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User</cp:lastModifiedBy>
  <cp:revision>2</cp:revision>
  <cp:lastPrinted>2023-07-18T08:55:00Z</cp:lastPrinted>
  <dcterms:created xsi:type="dcterms:W3CDTF">2023-10-04T01:44:00Z</dcterms:created>
  <dcterms:modified xsi:type="dcterms:W3CDTF">2023-10-04T01:44:00Z</dcterms:modified>
</cp:coreProperties>
</file>