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68B" w:rsidRDefault="007A6812">
      <w:pPr>
        <w:pStyle w:val="Standard"/>
        <w:spacing w:line="460" w:lineRule="exact"/>
        <w:ind w:right="278"/>
        <w:jc w:val="both"/>
        <w:rPr>
          <w:rFonts w:ascii="標楷體" w:eastAsia="標楷體" w:hAnsi="標楷體"/>
          <w:b/>
          <w:sz w:val="40"/>
          <w:szCs w:val="40"/>
        </w:rPr>
      </w:pPr>
      <w:bookmarkStart w:id="0" w:name="_GoBack"/>
      <w:r>
        <w:rPr>
          <w:rFonts w:ascii="標楷體" w:eastAsia="標楷體" w:hAnsi="標楷體"/>
          <w:b/>
          <w:sz w:val="40"/>
          <w:szCs w:val="40"/>
        </w:rPr>
        <w:t>高級中等以下學校規劃及實施臺灣手語課程應注意事項</w:t>
      </w:r>
    </w:p>
    <w:bookmarkEnd w:id="0"/>
    <w:p w:rsidR="0097568B" w:rsidRDefault="007A6812">
      <w:pPr>
        <w:pStyle w:val="Standard"/>
        <w:widowControl w:val="0"/>
        <w:snapToGrid w:val="0"/>
        <w:spacing w:line="460" w:lineRule="exact"/>
        <w:ind w:left="490" w:hanging="490"/>
        <w:jc w:val="both"/>
        <w:rPr>
          <w:rFonts w:ascii="標楷體" w:eastAsia="標楷體" w:hAnsi="標楷體"/>
          <w:sz w:val="28"/>
          <w:szCs w:val="28"/>
        </w:rPr>
      </w:pPr>
      <w:r>
        <w:rPr>
          <w:rFonts w:ascii="標楷體" w:eastAsia="標楷體" w:hAnsi="標楷體"/>
          <w:sz w:val="28"/>
          <w:szCs w:val="28"/>
        </w:rPr>
        <w:t>一、教育部國民及學前教育署（以下簡稱本署）為確保學生選習臺灣手語課程權益，協助高級中等以下學校（以下簡稱學校）依十二年國民基本教育課程綱要規定，規劃及實施臺灣手語部定課程（以下簡稱部定課程）及臺灣手語校訂課程（以下簡稱校訂課程），特訂定本注意事項。</w:t>
      </w:r>
    </w:p>
    <w:p w:rsidR="0097568B" w:rsidRDefault="007A6812">
      <w:pPr>
        <w:pStyle w:val="Standard"/>
        <w:widowControl w:val="0"/>
        <w:snapToGrid w:val="0"/>
        <w:spacing w:line="460" w:lineRule="exact"/>
        <w:ind w:left="490" w:hanging="490"/>
        <w:jc w:val="both"/>
        <w:rPr>
          <w:rFonts w:ascii="標楷體" w:eastAsia="標楷體" w:hAnsi="標楷體"/>
          <w:sz w:val="28"/>
          <w:szCs w:val="28"/>
        </w:rPr>
      </w:pPr>
      <w:r>
        <w:rPr>
          <w:rFonts w:ascii="標楷體" w:eastAsia="標楷體" w:hAnsi="標楷體"/>
          <w:sz w:val="28"/>
          <w:szCs w:val="28"/>
        </w:rPr>
        <w:t>二、學校規劃及實施部定課程，除法規另有規定外，依下列方式辦理：</w:t>
      </w:r>
    </w:p>
    <w:p w:rsidR="0097568B" w:rsidRDefault="007A6812">
      <w:pPr>
        <w:pStyle w:val="a5"/>
        <w:numPr>
          <w:ilvl w:val="0"/>
          <w:numId w:val="30"/>
        </w:numPr>
        <w:spacing w:line="460" w:lineRule="exact"/>
        <w:jc w:val="both"/>
        <w:rPr>
          <w:rFonts w:ascii="標楷體" w:eastAsia="標楷體" w:hAnsi="標楷體"/>
          <w:sz w:val="28"/>
          <w:szCs w:val="28"/>
        </w:rPr>
      </w:pPr>
      <w:r>
        <w:rPr>
          <w:rFonts w:ascii="標楷體" w:eastAsia="標楷體" w:hAnsi="標楷體"/>
          <w:sz w:val="28"/>
          <w:szCs w:val="28"/>
        </w:rPr>
        <w:t>國民教育階段：</w:t>
      </w:r>
    </w:p>
    <w:p w:rsidR="0097568B" w:rsidRDefault="007A6812">
      <w:pPr>
        <w:pStyle w:val="a5"/>
        <w:numPr>
          <w:ilvl w:val="0"/>
          <w:numId w:val="31"/>
        </w:numPr>
        <w:spacing w:line="460" w:lineRule="exact"/>
        <w:ind w:left="1656" w:hanging="454"/>
        <w:jc w:val="both"/>
        <w:rPr>
          <w:rFonts w:ascii="標楷體" w:eastAsia="標楷體" w:hAnsi="標楷體"/>
          <w:sz w:val="28"/>
          <w:szCs w:val="28"/>
        </w:rPr>
      </w:pPr>
      <w:r>
        <w:rPr>
          <w:rFonts w:ascii="標楷體" w:eastAsia="標楷體" w:hAnsi="標楷體"/>
          <w:sz w:val="28"/>
          <w:szCs w:val="28"/>
        </w:rPr>
        <w:t>國民小學（以下簡稱國小）應於一年級至六年級，國民中學應於一年級、二年級之領域學習課程，將臺灣手語課程納入規劃，每週一節。</w:t>
      </w:r>
    </w:p>
    <w:p w:rsidR="0097568B" w:rsidRDefault="007A6812">
      <w:pPr>
        <w:pStyle w:val="a5"/>
        <w:numPr>
          <w:ilvl w:val="0"/>
          <w:numId w:val="9"/>
        </w:numPr>
        <w:spacing w:line="460" w:lineRule="exact"/>
        <w:ind w:left="1656" w:hanging="454"/>
        <w:jc w:val="both"/>
      </w:pPr>
      <w:r>
        <w:rPr>
          <w:rFonts w:ascii="標楷體" w:eastAsia="標楷體" w:hAnsi="標楷體"/>
          <w:sz w:val="28"/>
          <w:szCs w:val="28"/>
        </w:rPr>
        <w:t>臺灣手語課程除</w:t>
      </w:r>
      <w:r>
        <w:rPr>
          <w:rFonts w:ascii="標楷體" w:eastAsia="標楷體" w:hAnsi="標楷體"/>
          <w:color w:val="000000"/>
          <w:sz w:val="28"/>
          <w:szCs w:val="28"/>
        </w:rPr>
        <w:t>得每週實施一節外，經學校課程發展委員會通過後，亦得</w:t>
      </w:r>
      <w:r>
        <w:rPr>
          <w:rFonts w:ascii="標楷體" w:eastAsia="標楷體" w:hAnsi="標楷體"/>
          <w:sz w:val="28"/>
          <w:szCs w:val="28"/>
        </w:rPr>
        <w:t>彈性調整為隔週實施二節或隔學期對開二節。</w:t>
      </w:r>
    </w:p>
    <w:p w:rsidR="0097568B" w:rsidRDefault="007A6812">
      <w:pPr>
        <w:pStyle w:val="a5"/>
        <w:numPr>
          <w:ilvl w:val="0"/>
          <w:numId w:val="9"/>
        </w:numPr>
        <w:spacing w:line="460" w:lineRule="exact"/>
        <w:ind w:left="1656" w:hanging="454"/>
        <w:jc w:val="both"/>
      </w:pPr>
      <w:r>
        <w:rPr>
          <w:rFonts w:ascii="標楷體" w:eastAsia="標楷體" w:hAnsi="標楷體"/>
          <w:sz w:val="28"/>
          <w:szCs w:val="28"/>
        </w:rPr>
        <w:t>國小</w:t>
      </w:r>
      <w:r>
        <w:rPr>
          <w:rFonts w:ascii="標楷體" w:eastAsia="標楷體" w:hAnsi="標楷體"/>
          <w:color w:val="000000"/>
          <w:sz w:val="28"/>
          <w:szCs w:val="28"/>
        </w:rPr>
        <w:t>應以同一學習階段實施為原則</w:t>
      </w:r>
      <w:r>
        <w:rPr>
          <w:rFonts w:ascii="標楷體" w:eastAsia="標楷體" w:hAnsi="標楷體"/>
          <w:sz w:val="28"/>
          <w:szCs w:val="28"/>
        </w:rPr>
        <w:t>；學校仍得視選習臺灣手語課程學生之語言能力、學校班級規模、每班學生數或其他因素，跨學習階段開設。</w:t>
      </w:r>
    </w:p>
    <w:p w:rsidR="0097568B" w:rsidRDefault="007A6812">
      <w:pPr>
        <w:pStyle w:val="a5"/>
        <w:numPr>
          <w:ilvl w:val="0"/>
          <w:numId w:val="9"/>
        </w:numPr>
        <w:spacing w:line="460" w:lineRule="exact"/>
        <w:ind w:left="1656" w:hanging="454"/>
        <w:jc w:val="both"/>
      </w:pPr>
      <w:r>
        <w:rPr>
          <w:rFonts w:ascii="標楷體" w:eastAsia="標楷體" w:hAnsi="標楷體"/>
          <w:sz w:val="28"/>
          <w:szCs w:val="28"/>
        </w:rPr>
        <w:t>學生已修習臺灣手語課程，其確有更換修習其他語別課程需求時</w:t>
      </w:r>
      <w:r>
        <w:rPr>
          <w:rFonts w:ascii="標楷體" w:eastAsia="標楷體" w:hAnsi="標楷體"/>
          <w:color w:val="000000"/>
          <w:sz w:val="28"/>
          <w:szCs w:val="28"/>
        </w:rPr>
        <w:t>，應持續修習臺灣手語課程一學年以上為原則。</w:t>
      </w:r>
    </w:p>
    <w:p w:rsidR="0097568B" w:rsidRDefault="007A6812">
      <w:pPr>
        <w:pStyle w:val="a5"/>
        <w:numPr>
          <w:ilvl w:val="0"/>
          <w:numId w:val="3"/>
        </w:numPr>
        <w:spacing w:line="460" w:lineRule="exact"/>
        <w:ind w:left="1389" w:hanging="907"/>
        <w:jc w:val="both"/>
      </w:pPr>
      <w:r>
        <w:rPr>
          <w:rFonts w:ascii="標楷體" w:eastAsia="標楷體" w:hAnsi="標楷體"/>
          <w:sz w:val="28"/>
          <w:szCs w:val="28"/>
        </w:rPr>
        <w:t>高級中等教育階段：學校應於一年級部定課程</w:t>
      </w:r>
      <w:r>
        <w:rPr>
          <w:rFonts w:ascii="標楷體" w:eastAsia="標楷體" w:hAnsi="標楷體"/>
          <w:sz w:val="28"/>
          <w:szCs w:val="28"/>
        </w:rPr>
        <w:t>，將臺灣手語課程二學分（進修部為二</w:t>
      </w:r>
      <w:r>
        <w:rPr>
          <w:rFonts w:ascii="標楷體" w:eastAsia="標楷體" w:hAnsi="標楷體" w:cs="Apple Color Emoji"/>
          <w:sz w:val="28"/>
          <w:szCs w:val="28"/>
        </w:rPr>
        <w:t>節</w:t>
      </w:r>
      <w:r>
        <w:rPr>
          <w:rFonts w:ascii="標楷體" w:eastAsia="標楷體" w:hAnsi="標楷體"/>
          <w:sz w:val="28"/>
          <w:szCs w:val="28"/>
        </w:rPr>
        <w:t>）納入規劃為原則；特殊教育及特殊類型班級，為一學分或二學分。</w:t>
      </w:r>
    </w:p>
    <w:p w:rsidR="0097568B" w:rsidRDefault="007A6812">
      <w:pPr>
        <w:pStyle w:val="Standard"/>
        <w:tabs>
          <w:tab w:val="left" w:pos="1594"/>
        </w:tabs>
        <w:spacing w:line="460" w:lineRule="exact"/>
        <w:ind w:left="454" w:firstLine="624"/>
        <w:jc w:val="both"/>
        <w:rPr>
          <w:rFonts w:ascii="標楷體" w:eastAsia="標楷體" w:hAnsi="標楷體"/>
          <w:sz w:val="28"/>
          <w:szCs w:val="28"/>
        </w:rPr>
      </w:pPr>
      <w:r>
        <w:rPr>
          <w:rFonts w:ascii="標楷體" w:eastAsia="標楷體" w:hAnsi="標楷體"/>
          <w:sz w:val="28"/>
          <w:szCs w:val="28"/>
        </w:rPr>
        <w:t>前項課程，其開課原則如下：</w:t>
      </w:r>
    </w:p>
    <w:p w:rsidR="0097568B" w:rsidRDefault="007A6812">
      <w:pPr>
        <w:pStyle w:val="a5"/>
        <w:numPr>
          <w:ilvl w:val="0"/>
          <w:numId w:val="32"/>
        </w:numPr>
        <w:spacing w:line="460" w:lineRule="exact"/>
        <w:ind w:left="1389" w:hanging="907"/>
        <w:jc w:val="both"/>
        <w:rPr>
          <w:rFonts w:ascii="標楷體" w:eastAsia="標楷體" w:hAnsi="標楷體"/>
          <w:sz w:val="28"/>
          <w:szCs w:val="28"/>
        </w:rPr>
      </w:pPr>
      <w:r>
        <w:rPr>
          <w:rFonts w:ascii="標楷體" w:eastAsia="標楷體" w:hAnsi="標楷體"/>
          <w:sz w:val="28"/>
          <w:szCs w:val="28"/>
        </w:rPr>
        <w:t>學校應調查學生實際需求與意願，由學生自主選擇修習，充分尊重學生學習權。</w:t>
      </w:r>
    </w:p>
    <w:p w:rsidR="0097568B" w:rsidRDefault="007A6812">
      <w:pPr>
        <w:pStyle w:val="a5"/>
        <w:numPr>
          <w:ilvl w:val="0"/>
          <w:numId w:val="24"/>
        </w:numPr>
        <w:spacing w:line="460" w:lineRule="exact"/>
        <w:ind w:left="1389" w:hanging="907"/>
        <w:jc w:val="both"/>
        <w:rPr>
          <w:rFonts w:ascii="標楷體" w:eastAsia="標楷體" w:hAnsi="標楷體"/>
          <w:sz w:val="28"/>
          <w:szCs w:val="28"/>
        </w:rPr>
      </w:pPr>
      <w:r>
        <w:rPr>
          <w:rFonts w:ascii="標楷體" w:eastAsia="標楷體" w:hAnsi="標楷體"/>
          <w:sz w:val="28"/>
          <w:szCs w:val="28"/>
        </w:rPr>
        <w:t>學校得視選習臺灣手語課程之學生數、學生語文程度，以原班級、數個班級之班群或其他方式開設。</w:t>
      </w:r>
    </w:p>
    <w:p w:rsidR="0097568B" w:rsidRDefault="007A6812">
      <w:pPr>
        <w:pStyle w:val="a5"/>
        <w:numPr>
          <w:ilvl w:val="0"/>
          <w:numId w:val="24"/>
        </w:numPr>
        <w:spacing w:line="460" w:lineRule="exact"/>
        <w:ind w:left="1389" w:hanging="907"/>
        <w:jc w:val="both"/>
        <w:rPr>
          <w:rFonts w:ascii="標楷體" w:eastAsia="標楷體" w:hAnsi="標楷體"/>
          <w:sz w:val="28"/>
          <w:szCs w:val="28"/>
        </w:rPr>
      </w:pPr>
      <w:r>
        <w:rPr>
          <w:rFonts w:ascii="標楷體" w:eastAsia="標楷體" w:hAnsi="標楷體"/>
          <w:sz w:val="28"/>
          <w:szCs w:val="28"/>
        </w:rPr>
        <w:t>為配合學生選課需求，同一班群課程應於同一時段實施為原則。</w:t>
      </w:r>
    </w:p>
    <w:p w:rsidR="0097568B" w:rsidRDefault="007A6812">
      <w:pPr>
        <w:pStyle w:val="Standard"/>
        <w:spacing w:line="460" w:lineRule="exact"/>
        <w:ind w:left="454" w:firstLine="680"/>
        <w:jc w:val="both"/>
        <w:rPr>
          <w:rFonts w:ascii="標楷體" w:eastAsia="標楷體" w:hAnsi="標楷體"/>
          <w:sz w:val="28"/>
          <w:szCs w:val="28"/>
        </w:rPr>
      </w:pPr>
      <w:r>
        <w:rPr>
          <w:rFonts w:ascii="標楷體" w:eastAsia="標楷體" w:hAnsi="標楷體"/>
          <w:sz w:val="28"/>
          <w:szCs w:val="28"/>
        </w:rPr>
        <w:lastRenderedPageBreak/>
        <w:t>第一項課程之成班班數及人數，規定如下：</w:t>
      </w:r>
    </w:p>
    <w:p w:rsidR="0097568B" w:rsidRDefault="007A6812">
      <w:pPr>
        <w:pStyle w:val="a5"/>
        <w:numPr>
          <w:ilvl w:val="0"/>
          <w:numId w:val="33"/>
        </w:numPr>
        <w:spacing w:line="460" w:lineRule="exact"/>
        <w:ind w:left="1389" w:hanging="907"/>
        <w:jc w:val="both"/>
        <w:rPr>
          <w:rFonts w:ascii="標楷體" w:eastAsia="標楷體" w:hAnsi="標楷體"/>
          <w:sz w:val="28"/>
          <w:szCs w:val="28"/>
        </w:rPr>
      </w:pPr>
      <w:r>
        <w:rPr>
          <w:rFonts w:ascii="標楷體" w:eastAsia="標楷體" w:hAnsi="標楷體"/>
          <w:sz w:val="28"/>
          <w:szCs w:val="28"/>
        </w:rPr>
        <w:t>有學生選習臺灣手語課程者，學校均應開班。</w:t>
      </w:r>
    </w:p>
    <w:p w:rsidR="0097568B" w:rsidRDefault="007A6812">
      <w:pPr>
        <w:pStyle w:val="a5"/>
        <w:numPr>
          <w:ilvl w:val="0"/>
          <w:numId w:val="25"/>
        </w:numPr>
        <w:spacing w:line="460" w:lineRule="exact"/>
        <w:ind w:left="1389" w:hanging="907"/>
        <w:jc w:val="both"/>
        <w:rPr>
          <w:rFonts w:ascii="標楷體" w:eastAsia="標楷體" w:hAnsi="標楷體"/>
          <w:sz w:val="28"/>
          <w:szCs w:val="28"/>
        </w:rPr>
      </w:pPr>
      <w:r>
        <w:rPr>
          <w:rFonts w:ascii="標楷體" w:eastAsia="標楷體" w:hAnsi="標楷體"/>
          <w:sz w:val="28"/>
          <w:szCs w:val="28"/>
        </w:rPr>
        <w:t>開班後之成班班數，不受原核定班級數之限制。</w:t>
      </w:r>
    </w:p>
    <w:p w:rsidR="0097568B" w:rsidRDefault="007A6812">
      <w:pPr>
        <w:pStyle w:val="a5"/>
        <w:numPr>
          <w:ilvl w:val="0"/>
          <w:numId w:val="25"/>
        </w:numPr>
        <w:spacing w:line="460" w:lineRule="exact"/>
        <w:ind w:left="1389" w:hanging="907"/>
        <w:jc w:val="both"/>
      </w:pPr>
      <w:r>
        <w:rPr>
          <w:rFonts w:ascii="標楷體" w:eastAsia="標楷體" w:hAnsi="標楷體"/>
          <w:sz w:val="28"/>
          <w:szCs w:val="28"/>
        </w:rPr>
        <w:t>成班人</w:t>
      </w:r>
      <w:r>
        <w:rPr>
          <w:rFonts w:ascii="標楷體" w:eastAsia="標楷體" w:hAnsi="標楷體" w:cs="新細明體"/>
          <w:sz w:val="28"/>
          <w:szCs w:val="28"/>
        </w:rPr>
        <w:t>數</w:t>
      </w:r>
      <w:r>
        <w:rPr>
          <w:rFonts w:ascii="標楷體" w:eastAsia="標楷體" w:hAnsi="標楷體"/>
          <w:sz w:val="28"/>
          <w:szCs w:val="28"/>
        </w:rPr>
        <w:t>上限，</w:t>
      </w:r>
      <w:r>
        <w:rPr>
          <w:rFonts w:ascii="標楷體" w:eastAsia="標楷體" w:hAnsi="標楷體" w:cs="新細明體"/>
          <w:sz w:val="28"/>
          <w:szCs w:val="28"/>
        </w:rPr>
        <w:t>不</w:t>
      </w:r>
      <w:r>
        <w:rPr>
          <w:rFonts w:ascii="標楷體" w:eastAsia="標楷體" w:hAnsi="標楷體"/>
          <w:sz w:val="28"/>
          <w:szCs w:val="28"/>
        </w:rPr>
        <w:t>得逾國民小學與國民中學班級編制及教職員員額編制準則、高級中等教育法施行細則之規定。</w:t>
      </w:r>
    </w:p>
    <w:p w:rsidR="0097568B" w:rsidRDefault="007A6812">
      <w:pPr>
        <w:pStyle w:val="Standard"/>
        <w:spacing w:line="460" w:lineRule="exact"/>
        <w:ind w:left="454" w:firstLine="680"/>
        <w:jc w:val="both"/>
      </w:pPr>
      <w:r>
        <w:rPr>
          <w:rFonts w:ascii="標楷體" w:eastAsia="標楷體" w:hAnsi="標楷體"/>
          <w:color w:val="000000"/>
          <w:sz w:val="28"/>
          <w:szCs w:val="28"/>
        </w:rPr>
        <w:t>第一項各</w:t>
      </w:r>
      <w:r>
        <w:rPr>
          <w:rFonts w:ascii="標楷體" w:eastAsia="標楷體" w:hAnsi="標楷體"/>
          <w:sz w:val="28"/>
          <w:szCs w:val="28"/>
        </w:rPr>
        <w:t>教育</w:t>
      </w:r>
      <w:r>
        <w:rPr>
          <w:rFonts w:ascii="標楷體" w:eastAsia="標楷體" w:hAnsi="標楷體"/>
          <w:color w:val="000000"/>
          <w:sz w:val="28"/>
          <w:szCs w:val="28"/>
        </w:rPr>
        <w:t>階段學校規劃及實施部定課程日期，自一百十一學年度，由國民小學、國民中學、高級中等學校一年級起逐年實施。</w:t>
      </w:r>
    </w:p>
    <w:p w:rsidR="0097568B" w:rsidRDefault="007A6812">
      <w:pPr>
        <w:pStyle w:val="Standard"/>
        <w:widowControl w:val="0"/>
        <w:snapToGrid w:val="0"/>
        <w:spacing w:line="460" w:lineRule="exact"/>
        <w:ind w:left="490" w:hanging="490"/>
        <w:jc w:val="both"/>
        <w:rPr>
          <w:rFonts w:ascii="標楷體" w:eastAsia="標楷體" w:hAnsi="標楷體"/>
          <w:sz w:val="28"/>
          <w:szCs w:val="28"/>
        </w:rPr>
      </w:pPr>
      <w:r>
        <w:rPr>
          <w:rFonts w:ascii="標楷體" w:eastAsia="標楷體" w:hAnsi="標楷體"/>
          <w:sz w:val="28"/>
          <w:szCs w:val="28"/>
        </w:rPr>
        <w:t>三、學校規劃及實施校訂課程，除法規另有規定外，依下列方式辦理：</w:t>
      </w:r>
    </w:p>
    <w:p w:rsidR="0097568B" w:rsidRDefault="007A6812">
      <w:pPr>
        <w:pStyle w:val="a5"/>
        <w:numPr>
          <w:ilvl w:val="0"/>
          <w:numId w:val="34"/>
        </w:numPr>
        <w:spacing w:line="460" w:lineRule="exact"/>
        <w:ind w:left="1446" w:hanging="964"/>
        <w:jc w:val="both"/>
        <w:rPr>
          <w:rFonts w:ascii="標楷體" w:eastAsia="標楷體" w:hAnsi="標楷體"/>
          <w:sz w:val="28"/>
          <w:szCs w:val="28"/>
        </w:rPr>
      </w:pPr>
      <w:r>
        <w:rPr>
          <w:rFonts w:ascii="標楷體" w:eastAsia="標楷體" w:hAnsi="標楷體"/>
          <w:sz w:val="28"/>
          <w:szCs w:val="28"/>
        </w:rPr>
        <w:t>國民教育階段：學校得於彈性學習課程，規劃臺灣手語課程，供學生選修；其教學內容及教材，得由學校自行安排。</w:t>
      </w:r>
    </w:p>
    <w:p w:rsidR="0097568B" w:rsidRDefault="007A6812">
      <w:pPr>
        <w:pStyle w:val="a5"/>
        <w:numPr>
          <w:ilvl w:val="0"/>
          <w:numId w:val="27"/>
        </w:numPr>
        <w:spacing w:line="460" w:lineRule="exact"/>
        <w:ind w:left="1389" w:hanging="907"/>
        <w:jc w:val="both"/>
        <w:rPr>
          <w:rFonts w:ascii="標楷體" w:eastAsia="標楷體" w:hAnsi="標楷體"/>
          <w:sz w:val="28"/>
          <w:szCs w:val="28"/>
        </w:rPr>
      </w:pPr>
      <w:r>
        <w:rPr>
          <w:rFonts w:ascii="標楷體" w:eastAsia="標楷體" w:hAnsi="標楷體"/>
          <w:sz w:val="28"/>
          <w:szCs w:val="28"/>
        </w:rPr>
        <w:t>高級中等教育階段：</w:t>
      </w:r>
    </w:p>
    <w:p w:rsidR="0097568B" w:rsidRDefault="007A6812">
      <w:pPr>
        <w:pStyle w:val="a5"/>
        <w:numPr>
          <w:ilvl w:val="0"/>
          <w:numId w:val="35"/>
        </w:numPr>
        <w:spacing w:line="460" w:lineRule="exact"/>
        <w:jc w:val="both"/>
        <w:rPr>
          <w:rFonts w:ascii="標楷體" w:eastAsia="標楷體" w:hAnsi="標楷體"/>
          <w:sz w:val="28"/>
          <w:szCs w:val="28"/>
        </w:rPr>
      </w:pPr>
      <w:r>
        <w:rPr>
          <w:rFonts w:ascii="標楷體" w:eastAsia="標楷體" w:hAnsi="標楷體"/>
          <w:sz w:val="28"/>
          <w:szCs w:val="28"/>
        </w:rPr>
        <w:t>學校得於校訂必修課程規劃延伸各領域、科目學習之臺灣手語相關課程，並以專題、跨領域或跨科目、實作、探索體驗或為特殊需求者設計之課程類型為主。</w:t>
      </w:r>
    </w:p>
    <w:p w:rsidR="0097568B" w:rsidRDefault="007A6812">
      <w:pPr>
        <w:pStyle w:val="a5"/>
        <w:numPr>
          <w:ilvl w:val="0"/>
          <w:numId w:val="28"/>
        </w:numPr>
        <w:spacing w:line="460" w:lineRule="exact"/>
        <w:ind w:left="1656" w:hanging="454"/>
        <w:jc w:val="both"/>
      </w:pPr>
      <w:r>
        <w:rPr>
          <w:rFonts w:ascii="標楷體" w:eastAsia="標楷體" w:hAnsi="標楷體"/>
          <w:sz w:val="28"/>
          <w:szCs w:val="28"/>
        </w:rPr>
        <w:t>普通型學校應於選修課程</w:t>
      </w:r>
      <w:r>
        <w:rPr>
          <w:rFonts w:ascii="標楷體" w:eastAsia="標楷體" w:hAnsi="標楷體"/>
          <w:color w:val="000000"/>
          <w:sz w:val="28"/>
          <w:szCs w:val="28"/>
        </w:rPr>
        <w:t>規劃臺灣手語加深加廣選修課程四學分，包括情境式臺灣手語、臺灣手語專題研究</w:t>
      </w:r>
      <w:r>
        <w:rPr>
          <w:rFonts w:ascii="標楷體" w:eastAsia="標楷體" w:hAnsi="標楷體"/>
          <w:sz w:val="28"/>
          <w:szCs w:val="28"/>
        </w:rPr>
        <w:t>各二學分，由學生依生涯進路及興趣自主選擇修習；其課程之規劃及開設，不得早於部定課程。</w:t>
      </w:r>
    </w:p>
    <w:p w:rsidR="0097568B" w:rsidRDefault="007A6812">
      <w:pPr>
        <w:pStyle w:val="a5"/>
        <w:numPr>
          <w:ilvl w:val="0"/>
          <w:numId w:val="28"/>
        </w:numPr>
        <w:spacing w:line="460" w:lineRule="exact"/>
        <w:ind w:left="1656" w:hanging="454"/>
        <w:jc w:val="both"/>
      </w:pPr>
      <w:r>
        <w:rPr>
          <w:rFonts w:ascii="標楷體" w:eastAsia="標楷體" w:hAnsi="標楷體"/>
          <w:sz w:val="28"/>
          <w:szCs w:val="28"/>
        </w:rPr>
        <w:t>技術</w:t>
      </w:r>
      <w:r>
        <w:rPr>
          <w:rFonts w:ascii="標楷體" w:eastAsia="標楷體" w:hAnsi="標楷體"/>
          <w:color w:val="000000"/>
          <w:sz w:val="28"/>
          <w:szCs w:val="28"/>
        </w:rPr>
        <w:t>型、綜合型與單科型高級中等學校、特殊教育學校及特殊類型班級，得依據學生需求及學校發展願景與特色，參照普通型學校加深加廣選修課程，於部定課程修習完畢後，於校訂課程規劃。</w:t>
      </w:r>
    </w:p>
    <w:p w:rsidR="0097568B" w:rsidRDefault="007A6812">
      <w:pPr>
        <w:pStyle w:val="Standard"/>
        <w:widowControl w:val="0"/>
        <w:snapToGrid w:val="0"/>
        <w:spacing w:line="460" w:lineRule="exact"/>
        <w:ind w:left="490" w:hanging="490"/>
        <w:jc w:val="both"/>
      </w:pPr>
      <w:r>
        <w:rPr>
          <w:rFonts w:ascii="標楷體" w:eastAsia="標楷體" w:hAnsi="標楷體"/>
          <w:color w:val="000000"/>
          <w:sz w:val="28"/>
          <w:szCs w:val="28"/>
        </w:rPr>
        <w:t>四、</w:t>
      </w:r>
      <w:r>
        <w:rPr>
          <w:rFonts w:ascii="標楷體" w:eastAsia="標楷體" w:hAnsi="標楷體"/>
          <w:sz w:val="28"/>
          <w:szCs w:val="28"/>
        </w:rPr>
        <w:t>學校於部定課程或校訂課程規劃臺灣手語課程，以實體授課為原則</w:t>
      </w:r>
      <w:r>
        <w:rPr>
          <w:rFonts w:ascii="標楷體" w:eastAsia="標楷體" w:hAnsi="標楷體"/>
          <w:color w:val="000000"/>
          <w:sz w:val="28"/>
          <w:szCs w:val="28"/>
        </w:rPr>
        <w:t>；</w:t>
      </w:r>
      <w:r>
        <w:rPr>
          <w:rFonts w:ascii="標楷體" w:eastAsia="標楷體" w:hAnsi="標楷體" w:cs="Times New Roman"/>
          <w:color w:val="000000"/>
          <w:kern w:val="3"/>
          <w:sz w:val="28"/>
          <w:szCs w:val="28"/>
        </w:rPr>
        <w:t>教學支援</w:t>
      </w:r>
      <w:r>
        <w:rPr>
          <w:rFonts w:ascii="標楷體" w:eastAsia="標楷體" w:hAnsi="標楷體"/>
          <w:sz w:val="28"/>
          <w:szCs w:val="28"/>
        </w:rPr>
        <w:t>工作人員</w:t>
      </w:r>
      <w:r>
        <w:rPr>
          <w:rFonts w:ascii="標楷體" w:eastAsia="標楷體" w:hAnsi="標楷體" w:cs="Times New Roman"/>
          <w:color w:val="000000"/>
          <w:kern w:val="3"/>
          <w:sz w:val="28"/>
          <w:szCs w:val="28"/>
        </w:rPr>
        <w:t>擔任實體授課師資者，得由學校偕同教學支援工作人員，評估課務協調、班級經營、學生輔導管教或教學資源需求，並報各該主管機關同意後，置協同教師。</w:t>
      </w:r>
    </w:p>
    <w:p w:rsidR="0097568B" w:rsidRDefault="007A6812">
      <w:pPr>
        <w:pStyle w:val="Standard"/>
        <w:spacing w:line="460" w:lineRule="exact"/>
        <w:ind w:left="454" w:firstLine="624"/>
        <w:jc w:val="both"/>
        <w:rPr>
          <w:rFonts w:ascii="標楷體" w:eastAsia="標楷體" w:hAnsi="標楷體"/>
          <w:color w:val="000000"/>
          <w:sz w:val="28"/>
          <w:szCs w:val="28"/>
        </w:rPr>
      </w:pPr>
      <w:r>
        <w:rPr>
          <w:rFonts w:ascii="標楷體" w:eastAsia="標楷體" w:hAnsi="標楷體"/>
          <w:color w:val="000000"/>
          <w:sz w:val="28"/>
          <w:szCs w:val="28"/>
        </w:rPr>
        <w:t>前項協同教師之資格、任期、權利及任務，依據臺灣手語實體課程協同教師實施計畫之相關規定辦理。</w:t>
      </w:r>
    </w:p>
    <w:p w:rsidR="0097568B" w:rsidRDefault="007A6812">
      <w:pPr>
        <w:pStyle w:val="Standard"/>
        <w:spacing w:line="460" w:lineRule="exact"/>
        <w:ind w:left="454" w:firstLine="624"/>
        <w:jc w:val="both"/>
        <w:rPr>
          <w:rFonts w:ascii="標楷體" w:eastAsia="標楷體" w:hAnsi="標楷體"/>
          <w:color w:val="000000"/>
          <w:sz w:val="28"/>
          <w:szCs w:val="28"/>
        </w:rPr>
      </w:pPr>
      <w:r>
        <w:rPr>
          <w:rFonts w:ascii="標楷體" w:eastAsia="標楷體" w:hAnsi="標楷體"/>
          <w:color w:val="000000"/>
          <w:sz w:val="28"/>
          <w:szCs w:val="28"/>
        </w:rPr>
        <w:t>學校因實體授課排課、師資延聘困難、為提供學生多元學習方式或其他因素，得參加中央或地方機關辦理之直播共學或其他機制。</w:t>
      </w:r>
    </w:p>
    <w:p w:rsidR="0097568B" w:rsidRDefault="007A6812">
      <w:pPr>
        <w:pStyle w:val="Standard"/>
        <w:spacing w:line="460" w:lineRule="exact"/>
        <w:ind w:left="454" w:firstLine="624"/>
        <w:jc w:val="both"/>
      </w:pPr>
      <w:r>
        <w:rPr>
          <w:rFonts w:ascii="標楷體" w:eastAsia="標楷體" w:hAnsi="標楷體" w:cs="Times New Roman"/>
          <w:color w:val="000000"/>
          <w:kern w:val="3"/>
          <w:sz w:val="28"/>
          <w:szCs w:val="28"/>
        </w:rPr>
        <w:t>國民教育</w:t>
      </w:r>
      <w:r>
        <w:rPr>
          <w:rFonts w:ascii="標楷體" w:eastAsia="標楷體" w:hAnsi="標楷體"/>
          <w:color w:val="000000"/>
          <w:sz w:val="28"/>
          <w:szCs w:val="28"/>
        </w:rPr>
        <w:t>階段</w:t>
      </w:r>
      <w:r>
        <w:rPr>
          <w:rFonts w:ascii="標楷體" w:eastAsia="標楷體" w:hAnsi="標楷體" w:cs="Times New Roman"/>
          <w:color w:val="000000"/>
          <w:kern w:val="3"/>
          <w:sz w:val="28"/>
          <w:szCs w:val="28"/>
        </w:rPr>
        <w:t>學校於彈性學習課程開設部定課程外之臺灣手語課程，未能依前項規定實施者，得報</w:t>
      </w:r>
      <w:r>
        <w:rPr>
          <w:rFonts w:ascii="標楷體" w:eastAsia="標楷體" w:hAnsi="標楷體"/>
          <w:color w:val="000000"/>
          <w:sz w:val="28"/>
          <w:szCs w:val="28"/>
        </w:rPr>
        <w:t>各</w:t>
      </w:r>
      <w:r>
        <w:rPr>
          <w:rFonts w:ascii="標楷體" w:eastAsia="標楷體" w:hAnsi="標楷體"/>
          <w:color w:val="000000"/>
          <w:sz w:val="28"/>
          <w:szCs w:val="28"/>
        </w:rPr>
        <w:t>該</w:t>
      </w:r>
      <w:r>
        <w:rPr>
          <w:rFonts w:ascii="標楷體" w:eastAsia="標楷體" w:hAnsi="標楷體" w:cs="Times New Roman"/>
          <w:color w:val="000000"/>
          <w:kern w:val="3"/>
          <w:sz w:val="28"/>
          <w:szCs w:val="28"/>
        </w:rPr>
        <w:t>主管機關同意後，彈性調整至正式課程以外時間實施。</w:t>
      </w:r>
    </w:p>
    <w:p w:rsidR="0097568B" w:rsidRDefault="007A6812">
      <w:pPr>
        <w:pStyle w:val="Standard"/>
        <w:widowControl w:val="0"/>
        <w:snapToGrid w:val="0"/>
        <w:spacing w:line="460" w:lineRule="exact"/>
        <w:ind w:left="490" w:hanging="490"/>
        <w:jc w:val="both"/>
      </w:pPr>
      <w:r>
        <w:rPr>
          <w:rFonts w:ascii="標楷體" w:eastAsia="標楷體" w:hAnsi="標楷體" w:cs="Times New Roman"/>
          <w:color w:val="000000"/>
          <w:kern w:val="3"/>
          <w:sz w:val="28"/>
          <w:szCs w:val="28"/>
        </w:rPr>
        <w:t>五、</w:t>
      </w:r>
      <w:r>
        <w:rPr>
          <w:rFonts w:ascii="標楷體" w:eastAsia="標楷體" w:hAnsi="標楷體"/>
          <w:sz w:val="28"/>
          <w:szCs w:val="28"/>
        </w:rPr>
        <w:t>學校採遠距直播共學實施臺灣手語課程者，得衡酌該校採用遠距直播共學之節數、修習人數，置協同人員。</w:t>
      </w:r>
    </w:p>
    <w:p w:rsidR="0097568B" w:rsidRDefault="007A6812">
      <w:pPr>
        <w:pStyle w:val="Standard"/>
        <w:spacing w:line="460" w:lineRule="exact"/>
        <w:ind w:left="454" w:firstLine="680"/>
        <w:jc w:val="both"/>
      </w:pPr>
      <w:r>
        <w:rPr>
          <w:rFonts w:ascii="標楷體" w:eastAsia="標楷體" w:hAnsi="標楷體" w:cs="Times New Roman"/>
          <w:kern w:val="3"/>
          <w:sz w:val="28"/>
          <w:szCs w:val="28"/>
        </w:rPr>
        <w:t>協同</w:t>
      </w:r>
      <w:r>
        <w:rPr>
          <w:rFonts w:ascii="標楷體" w:eastAsia="標楷體" w:hAnsi="標楷體"/>
          <w:color w:val="000000"/>
          <w:sz w:val="28"/>
          <w:szCs w:val="28"/>
        </w:rPr>
        <w:t>人員</w:t>
      </w:r>
      <w:r>
        <w:rPr>
          <w:rFonts w:ascii="標楷體" w:eastAsia="標楷體" w:hAnsi="標楷體" w:cs="Times New Roman"/>
          <w:kern w:val="3"/>
          <w:sz w:val="28"/>
          <w:szCs w:val="28"/>
        </w:rPr>
        <w:t>得由</w:t>
      </w:r>
      <w:r>
        <w:rPr>
          <w:rFonts w:ascii="標楷體" w:eastAsia="標楷體" w:hAnsi="標楷體"/>
          <w:sz w:val="28"/>
          <w:szCs w:val="28"/>
        </w:rPr>
        <w:t>專任教師</w:t>
      </w:r>
      <w:r>
        <w:rPr>
          <w:rFonts w:ascii="標楷體" w:eastAsia="標楷體" w:hAnsi="標楷體" w:cs="Times New Roman"/>
          <w:color w:val="000000"/>
          <w:kern w:val="3"/>
          <w:sz w:val="28"/>
          <w:szCs w:val="28"/>
        </w:rPr>
        <w:t>、代理教師</w:t>
      </w:r>
      <w:r>
        <w:rPr>
          <w:rFonts w:ascii="標楷體" w:eastAsia="標楷體" w:hAnsi="標楷體" w:cs="Times New Roman"/>
          <w:kern w:val="3"/>
          <w:sz w:val="28"/>
          <w:szCs w:val="28"/>
        </w:rPr>
        <w:t>或</w:t>
      </w:r>
      <w:r>
        <w:rPr>
          <w:rFonts w:ascii="標楷體" w:eastAsia="標楷體" w:hAnsi="標楷體"/>
          <w:sz w:val="28"/>
          <w:szCs w:val="28"/>
        </w:rPr>
        <w:t>其他</w:t>
      </w:r>
      <w:r>
        <w:rPr>
          <w:rFonts w:ascii="標楷體" w:eastAsia="標楷體" w:hAnsi="標楷體" w:cs="Times New Roman"/>
          <w:kern w:val="3"/>
          <w:sz w:val="28"/>
          <w:szCs w:val="28"/>
        </w:rPr>
        <w:t>臨時人力擔任</w:t>
      </w:r>
      <w:r>
        <w:rPr>
          <w:rFonts w:ascii="標楷體" w:eastAsia="標楷體" w:hAnsi="標楷體"/>
          <w:sz w:val="28"/>
          <w:szCs w:val="28"/>
        </w:rPr>
        <w:t>；</w:t>
      </w:r>
      <w:r>
        <w:rPr>
          <w:rFonts w:ascii="標楷體" w:eastAsia="標楷體" w:hAnsi="標楷體" w:cs="Times New Roman"/>
          <w:kern w:val="3"/>
          <w:sz w:val="28"/>
          <w:szCs w:val="28"/>
        </w:rPr>
        <w:t>全校各學期協同人員人數，不得高於該校各學期開設臺灣手語課程之班級總數。</w:t>
      </w:r>
    </w:p>
    <w:p w:rsidR="0097568B" w:rsidRDefault="007A6812">
      <w:pPr>
        <w:pStyle w:val="Standard"/>
        <w:spacing w:line="460" w:lineRule="exact"/>
        <w:ind w:left="454" w:firstLine="680"/>
        <w:jc w:val="both"/>
        <w:rPr>
          <w:rFonts w:ascii="標楷體" w:eastAsia="標楷體" w:hAnsi="標楷體"/>
          <w:sz w:val="28"/>
          <w:szCs w:val="28"/>
        </w:rPr>
      </w:pPr>
      <w:r>
        <w:rPr>
          <w:rFonts w:ascii="標楷體" w:eastAsia="標楷體" w:hAnsi="標楷體"/>
          <w:sz w:val="28"/>
          <w:szCs w:val="28"/>
        </w:rPr>
        <w:t>協同人員之任務，準用高級中等學校跨校選修或預修課程數位遠距教學實施要點有關合作教師任務之規定。</w:t>
      </w:r>
    </w:p>
    <w:p w:rsidR="0097568B" w:rsidRDefault="007A6812">
      <w:pPr>
        <w:pStyle w:val="Standard"/>
        <w:spacing w:line="460" w:lineRule="exact"/>
        <w:ind w:left="454" w:firstLine="680"/>
        <w:jc w:val="both"/>
        <w:rPr>
          <w:rFonts w:ascii="標楷體" w:eastAsia="標楷體" w:hAnsi="標楷體" w:cs="Times New Roman"/>
          <w:kern w:val="3"/>
          <w:sz w:val="28"/>
          <w:szCs w:val="28"/>
        </w:rPr>
      </w:pPr>
      <w:r>
        <w:rPr>
          <w:rFonts w:ascii="標楷體" w:eastAsia="標楷體" w:hAnsi="標楷體" w:cs="Times New Roman"/>
          <w:kern w:val="3"/>
          <w:sz w:val="28"/>
          <w:szCs w:val="28"/>
        </w:rPr>
        <w:t>協同人員由專任教師或代理教師擔任，且全學期協同授課者，於已達其每週基本教學節數之外所協同授課之節數，得列計其超時教學節數，每週以六節為限。未全</w:t>
      </w:r>
      <w:r>
        <w:rPr>
          <w:rFonts w:ascii="標楷體" w:eastAsia="標楷體" w:hAnsi="標楷體" w:cs="Times New Roman"/>
          <w:kern w:val="3"/>
          <w:sz w:val="28"/>
          <w:szCs w:val="28"/>
        </w:rPr>
        <w:t>學期協同授課或由其他臨時人力擔任者，依其個別實際協同授課節數，核實支給鐘點費、工作費。</w:t>
      </w:r>
    </w:p>
    <w:p w:rsidR="0097568B" w:rsidRDefault="007A6812">
      <w:pPr>
        <w:pStyle w:val="Standard"/>
        <w:widowControl w:val="0"/>
        <w:snapToGrid w:val="0"/>
        <w:spacing w:line="460" w:lineRule="exact"/>
        <w:ind w:left="490" w:hanging="490"/>
        <w:jc w:val="both"/>
        <w:rPr>
          <w:rFonts w:ascii="標楷體" w:eastAsia="標楷體" w:hAnsi="標楷體"/>
          <w:sz w:val="28"/>
          <w:szCs w:val="28"/>
        </w:rPr>
      </w:pPr>
      <w:r>
        <w:rPr>
          <w:rFonts w:ascii="標楷體" w:eastAsia="標楷體" w:hAnsi="標楷體"/>
          <w:sz w:val="28"/>
          <w:szCs w:val="28"/>
        </w:rPr>
        <w:t>六、學校應將學生修習臺灣手語課程意願及實際開課情形，併同本土語文課程之調查情形，於學校資訊網站公告或通知學生家長；並於開學後三週內，將臺灣手語課程修習人數及開課情形，於本署指定之系統填報。</w:t>
      </w:r>
    </w:p>
    <w:p w:rsidR="0097568B" w:rsidRDefault="007A6812">
      <w:pPr>
        <w:pStyle w:val="Standard"/>
        <w:spacing w:line="460" w:lineRule="exact"/>
        <w:ind w:left="454" w:firstLine="680"/>
        <w:jc w:val="both"/>
        <w:rPr>
          <w:rFonts w:ascii="標楷體" w:eastAsia="標楷體" w:hAnsi="標楷體"/>
          <w:sz w:val="28"/>
          <w:szCs w:val="28"/>
        </w:rPr>
      </w:pPr>
      <w:r>
        <w:rPr>
          <w:rFonts w:ascii="標楷體" w:eastAsia="標楷體" w:hAnsi="標楷體"/>
          <w:sz w:val="28"/>
          <w:szCs w:val="28"/>
        </w:rPr>
        <w:t>各該主管機關應於每學期開學後二個月內，至本署系統完成檢視學校所填資料。</w:t>
      </w:r>
    </w:p>
    <w:p w:rsidR="0097568B" w:rsidRDefault="007A6812">
      <w:pPr>
        <w:pStyle w:val="Standard"/>
        <w:widowControl w:val="0"/>
        <w:snapToGrid w:val="0"/>
        <w:spacing w:line="460" w:lineRule="exact"/>
        <w:ind w:left="490" w:hanging="490"/>
        <w:jc w:val="both"/>
        <w:rPr>
          <w:rFonts w:ascii="標楷體" w:eastAsia="標楷體" w:hAnsi="標楷體"/>
          <w:color w:val="000000"/>
          <w:sz w:val="28"/>
          <w:szCs w:val="28"/>
        </w:rPr>
      </w:pPr>
      <w:r>
        <w:rPr>
          <w:rFonts w:ascii="標楷體" w:eastAsia="標楷體" w:hAnsi="標楷體"/>
          <w:color w:val="000000"/>
          <w:sz w:val="28"/>
          <w:szCs w:val="28"/>
        </w:rPr>
        <w:t>七、學校規劃及實施臺灣手語部定及校訂課程所需師資，由校內經各該主管機關培訓、認證通過之專任教師擔任，或依國民中小學教學支援工作人員聘任辦法進用臺灣手語教學支援工作</w:t>
      </w:r>
      <w:r>
        <w:rPr>
          <w:rFonts w:ascii="標楷體" w:eastAsia="標楷體" w:hAnsi="標楷體"/>
          <w:color w:val="000000"/>
          <w:sz w:val="28"/>
          <w:szCs w:val="28"/>
        </w:rPr>
        <w:t>人員。</w:t>
      </w:r>
    </w:p>
    <w:p w:rsidR="0097568B" w:rsidRDefault="007A6812">
      <w:pPr>
        <w:pStyle w:val="Standard"/>
        <w:spacing w:line="460" w:lineRule="exact"/>
        <w:ind w:left="454" w:firstLine="680"/>
        <w:jc w:val="both"/>
        <w:rPr>
          <w:rFonts w:ascii="標楷體" w:eastAsia="標楷體" w:hAnsi="標楷體" w:cs="Times New Roman"/>
          <w:color w:val="000000"/>
          <w:kern w:val="3"/>
          <w:sz w:val="28"/>
          <w:szCs w:val="28"/>
        </w:rPr>
      </w:pPr>
      <w:r>
        <w:rPr>
          <w:rFonts w:ascii="標楷體" w:eastAsia="標楷體" w:hAnsi="標楷體" w:cs="Times New Roman"/>
          <w:color w:val="000000"/>
          <w:kern w:val="3"/>
          <w:sz w:val="28"/>
          <w:szCs w:val="28"/>
        </w:rPr>
        <w:t>各該主管機關應積極辦理臺灣手語授課師資之教學專長培訓及回流教育。</w:t>
      </w:r>
    </w:p>
    <w:p w:rsidR="0097568B" w:rsidRDefault="007A6812">
      <w:pPr>
        <w:pStyle w:val="Standard"/>
        <w:spacing w:line="460" w:lineRule="exact"/>
        <w:ind w:left="454" w:firstLine="680"/>
        <w:jc w:val="both"/>
        <w:rPr>
          <w:rFonts w:ascii="標楷體" w:eastAsia="標楷體" w:hAnsi="標楷體"/>
          <w:sz w:val="28"/>
          <w:szCs w:val="28"/>
        </w:rPr>
      </w:pPr>
      <w:r>
        <w:rPr>
          <w:rFonts w:ascii="標楷體" w:eastAsia="標楷體" w:hAnsi="標楷體"/>
          <w:sz w:val="28"/>
          <w:szCs w:val="28"/>
        </w:rPr>
        <w:t>各該主管機關應對其主管之學校，就臺灣手語之課程、教材、教學實施及師資未符應規定情事，積極研議措施予以協助。</w:t>
      </w:r>
    </w:p>
    <w:p w:rsidR="0097568B" w:rsidRDefault="007A6812">
      <w:pPr>
        <w:pStyle w:val="Standard"/>
        <w:widowControl w:val="0"/>
        <w:snapToGrid w:val="0"/>
        <w:spacing w:line="460" w:lineRule="exact"/>
        <w:ind w:left="490" w:hanging="490"/>
        <w:jc w:val="both"/>
      </w:pPr>
      <w:r>
        <w:rPr>
          <w:rFonts w:ascii="標楷體" w:eastAsia="標楷體" w:hAnsi="標楷體"/>
          <w:sz w:val="28"/>
          <w:szCs w:val="28"/>
        </w:rPr>
        <w:t>八、本署及</w:t>
      </w:r>
      <w:r>
        <w:rPr>
          <w:rFonts w:ascii="標楷體" w:eastAsia="標楷體" w:hAnsi="標楷體"/>
          <w:color w:val="000000"/>
          <w:sz w:val="28"/>
          <w:szCs w:val="28"/>
        </w:rPr>
        <w:t>直轄市</w:t>
      </w:r>
      <w:r>
        <w:rPr>
          <w:rFonts w:ascii="標楷體" w:eastAsia="標楷體" w:hAnsi="標楷體"/>
          <w:sz w:val="28"/>
          <w:szCs w:val="28"/>
        </w:rPr>
        <w:t>、縣（市）主管機關得定期或不定期訪視學校規劃及實施臺灣手語課程情形；辦理成效優良者，應予獎勵。</w:t>
      </w:r>
    </w:p>
    <w:p w:rsidR="0097568B" w:rsidRDefault="007A6812">
      <w:pPr>
        <w:pStyle w:val="Standard"/>
        <w:widowControl w:val="0"/>
        <w:snapToGrid w:val="0"/>
        <w:spacing w:line="460" w:lineRule="exact"/>
        <w:ind w:left="490" w:hanging="490"/>
        <w:jc w:val="both"/>
        <w:rPr>
          <w:rFonts w:ascii="標楷體" w:eastAsia="標楷體" w:hAnsi="標楷體"/>
          <w:sz w:val="28"/>
          <w:szCs w:val="28"/>
        </w:rPr>
      </w:pPr>
      <w:r>
        <w:rPr>
          <w:rFonts w:ascii="標楷體" w:eastAsia="標楷體" w:hAnsi="標楷體"/>
          <w:sz w:val="28"/>
          <w:szCs w:val="28"/>
        </w:rPr>
        <w:t>九、直轄市、縣（市）主管機關得依本注意事項，訂定補充規定。</w:t>
      </w:r>
    </w:p>
    <w:p w:rsidR="0097568B" w:rsidRDefault="0097568B">
      <w:pPr>
        <w:pStyle w:val="Standard"/>
      </w:pPr>
    </w:p>
    <w:sectPr w:rsidR="0097568B">
      <w:pgSz w:w="11906" w:h="16838"/>
      <w:pgMar w:top="1418" w:right="1418"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812" w:rsidRDefault="007A6812">
      <w:r>
        <w:separator/>
      </w:r>
    </w:p>
  </w:endnote>
  <w:endnote w:type="continuationSeparator" w:id="0">
    <w:p w:rsidR="007A6812" w:rsidRDefault="007A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ple Color Emoji">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812" w:rsidRDefault="007A6812">
      <w:r>
        <w:rPr>
          <w:color w:val="000000"/>
        </w:rPr>
        <w:separator/>
      </w:r>
    </w:p>
  </w:footnote>
  <w:footnote w:type="continuationSeparator" w:id="0">
    <w:p w:rsidR="007A6812" w:rsidRDefault="007A6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21C1"/>
    <w:multiLevelType w:val="multilevel"/>
    <w:tmpl w:val="6630D178"/>
    <w:styleLink w:val="WWNum20"/>
    <w:lvl w:ilvl="0">
      <w:start w:val="1"/>
      <w:numFmt w:val="japaneseCounting"/>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A174810"/>
    <w:multiLevelType w:val="multilevel"/>
    <w:tmpl w:val="8048ACFC"/>
    <w:styleLink w:val="WWNum1"/>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F241155"/>
    <w:multiLevelType w:val="multilevel"/>
    <w:tmpl w:val="2F10CC12"/>
    <w:styleLink w:val="WWNum7"/>
    <w:lvl w:ilvl="0">
      <w:start w:val="1"/>
      <w:numFmt w:val="japaneseCounting"/>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10D73946"/>
    <w:multiLevelType w:val="multilevel"/>
    <w:tmpl w:val="C6BC8D34"/>
    <w:styleLink w:val="WWNum28"/>
    <w:lvl w:ilvl="0">
      <w:start w:val="1"/>
      <w:numFmt w:val="decimal"/>
      <w:lvlText w:val="%1."/>
      <w:lvlJc w:val="left"/>
      <w:pPr>
        <w:ind w:left="1680" w:hanging="480"/>
      </w:p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4" w15:restartNumberingAfterBreak="0">
    <w:nsid w:val="199D40F9"/>
    <w:multiLevelType w:val="multilevel"/>
    <w:tmpl w:val="BB704C80"/>
    <w:styleLink w:val="WWNum17"/>
    <w:lvl w:ilvl="0">
      <w:start w:val="1"/>
      <w:numFmt w:val="decimal"/>
      <w:lvlText w:val="%1."/>
      <w:lvlJc w:val="left"/>
      <w:pPr>
        <w:ind w:left="1680" w:hanging="480"/>
      </w:p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5" w15:restartNumberingAfterBreak="0">
    <w:nsid w:val="24272F3C"/>
    <w:multiLevelType w:val="multilevel"/>
    <w:tmpl w:val="AEA8EA7C"/>
    <w:styleLink w:val="WWNum10"/>
    <w:lvl w:ilvl="0">
      <w:start w:val="1"/>
      <w:numFmt w:val="japaneseCounting"/>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26541B0B"/>
    <w:multiLevelType w:val="multilevel"/>
    <w:tmpl w:val="5E566A6C"/>
    <w:styleLink w:val="WWNum9"/>
    <w:lvl w:ilvl="0">
      <w:start w:val="1"/>
      <w:numFmt w:val="japaneseCounting"/>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822566C"/>
    <w:multiLevelType w:val="multilevel"/>
    <w:tmpl w:val="90E88EC0"/>
    <w:styleLink w:val="WWNum18"/>
    <w:lvl w:ilvl="0">
      <w:start w:val="1"/>
      <w:numFmt w:val="japaneseCounting"/>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2DAF4F29"/>
    <w:multiLevelType w:val="multilevel"/>
    <w:tmpl w:val="2F90F354"/>
    <w:styleLink w:val="WWNum11"/>
    <w:lvl w:ilvl="0">
      <w:start w:val="1"/>
      <w:numFmt w:val="decimal"/>
      <w:lvlText w:val="%1."/>
      <w:lvlJc w:val="left"/>
      <w:pPr>
        <w:ind w:left="1680" w:hanging="480"/>
      </w:p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9" w15:restartNumberingAfterBreak="0">
    <w:nsid w:val="34D7503F"/>
    <w:multiLevelType w:val="multilevel"/>
    <w:tmpl w:val="A59AB3FC"/>
    <w:styleLink w:val="WWNum22"/>
    <w:lvl w:ilvl="0">
      <w:start w:val="1"/>
      <w:numFmt w:val="japaneseCounting"/>
      <w:lvlText w:val="%1、"/>
      <w:lvlJc w:val="left"/>
      <w:pPr>
        <w:ind w:left="480" w:hanging="480"/>
      </w:pPr>
      <w:rPr>
        <w:color w:val="00000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68674BB"/>
    <w:multiLevelType w:val="multilevel"/>
    <w:tmpl w:val="00BC90BA"/>
    <w:styleLink w:val="WWNum23"/>
    <w:lvl w:ilvl="0">
      <w:start w:val="1"/>
      <w:numFmt w:val="japaneseCounting"/>
      <w:lvlText w:val="（%1）"/>
      <w:lvlJc w:val="left"/>
      <w:pPr>
        <w:ind w:left="1200" w:hanging="720"/>
      </w:pPr>
      <w:rPr>
        <w:rFonts w:ascii="標楷體" w:eastAsia="標楷體" w:hAnsi="標楷體"/>
        <w:sz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37B96430"/>
    <w:multiLevelType w:val="multilevel"/>
    <w:tmpl w:val="8AF2C76E"/>
    <w:styleLink w:val="WWNum8"/>
    <w:lvl w:ilvl="0">
      <w:start w:val="1"/>
      <w:numFmt w:val="decimal"/>
      <w:lvlText w:val="%1."/>
      <w:lvlJc w:val="left"/>
      <w:pPr>
        <w:ind w:left="1680" w:hanging="480"/>
      </w:p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2" w15:restartNumberingAfterBreak="0">
    <w:nsid w:val="3F781CE2"/>
    <w:multiLevelType w:val="multilevel"/>
    <w:tmpl w:val="775ECBEE"/>
    <w:styleLink w:val="WWNum6"/>
    <w:lvl w:ilvl="0">
      <w:start w:val="2"/>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FD87B2F"/>
    <w:multiLevelType w:val="multilevel"/>
    <w:tmpl w:val="304AEF8E"/>
    <w:styleLink w:val="WWNum15"/>
    <w:lvl w:ilvl="0">
      <w:start w:val="1"/>
      <w:numFmt w:val="japaneseCounting"/>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7862795"/>
    <w:multiLevelType w:val="multilevel"/>
    <w:tmpl w:val="7EC48652"/>
    <w:styleLink w:val="WWNum12"/>
    <w:lvl w:ilvl="0">
      <w:start w:val="1"/>
      <w:numFmt w:val="japaneseCounting"/>
      <w:lvlText w:val="（%1）"/>
      <w:lvlJc w:val="left"/>
      <w:pPr>
        <w:ind w:left="1200" w:hanging="720"/>
      </w:pPr>
      <w:rPr>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49EA6854"/>
    <w:multiLevelType w:val="multilevel"/>
    <w:tmpl w:val="4B9E49FA"/>
    <w:styleLink w:val="WWNum21"/>
    <w:lvl w:ilvl="0">
      <w:start w:val="1"/>
      <w:numFmt w:val="japaneseCounting"/>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A710E91"/>
    <w:multiLevelType w:val="multilevel"/>
    <w:tmpl w:val="284A0212"/>
    <w:styleLink w:val="WWNum24"/>
    <w:lvl w:ilvl="0">
      <w:start w:val="1"/>
      <w:numFmt w:val="japaneseCounting"/>
      <w:lvlText w:val="（%1）"/>
      <w:lvlJc w:val="left"/>
      <w:pPr>
        <w:ind w:left="1200" w:hanging="720"/>
      </w:pPr>
      <w:rPr>
        <w:rFonts w:ascii="標楷體" w:eastAsia="標楷體" w:hAnsi="標楷體"/>
        <w:sz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7" w15:restartNumberingAfterBreak="0">
    <w:nsid w:val="4C4A7960"/>
    <w:multiLevelType w:val="multilevel"/>
    <w:tmpl w:val="4CC0BE86"/>
    <w:styleLink w:val="WWNum13"/>
    <w:lvl w:ilvl="0">
      <w:start w:val="1"/>
      <w:numFmt w:val="decimal"/>
      <w:lvlText w:val="%1."/>
      <w:lvlJc w:val="left"/>
      <w:pPr>
        <w:ind w:left="1680" w:hanging="480"/>
      </w:p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8" w15:restartNumberingAfterBreak="0">
    <w:nsid w:val="4EFE3053"/>
    <w:multiLevelType w:val="multilevel"/>
    <w:tmpl w:val="46C2F75C"/>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52401D90"/>
    <w:multiLevelType w:val="multilevel"/>
    <w:tmpl w:val="C304FFA8"/>
    <w:styleLink w:val="WWNum5"/>
    <w:lvl w:ilvl="0">
      <w:start w:val="1"/>
      <w:numFmt w:val="japaneseCounting"/>
      <w:lvlText w:val="（%1）"/>
      <w:lvlJc w:val="left"/>
      <w:pPr>
        <w:ind w:left="1200" w:hanging="720"/>
      </w:pPr>
      <w:rPr>
        <w:rFonts w:eastAsia="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0" w15:restartNumberingAfterBreak="0">
    <w:nsid w:val="570F15E0"/>
    <w:multiLevelType w:val="multilevel"/>
    <w:tmpl w:val="D89EDBEE"/>
    <w:styleLink w:val="WWNum26"/>
    <w:lvl w:ilvl="0">
      <w:start w:val="1"/>
      <w:numFmt w:val="japaneseCounting"/>
      <w:lvlText w:val="（%1）"/>
      <w:lvlJc w:val="left"/>
      <w:pPr>
        <w:ind w:left="1200" w:hanging="720"/>
      </w:pPr>
      <w:rPr>
        <w:rFonts w:ascii="標楷體" w:eastAsia="標楷體" w:hAnsi="標楷體"/>
        <w:sz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1" w15:restartNumberingAfterBreak="0">
    <w:nsid w:val="57800C9D"/>
    <w:multiLevelType w:val="multilevel"/>
    <w:tmpl w:val="490CC6C8"/>
    <w:styleLink w:val="WWNum4"/>
    <w:lvl w:ilvl="0">
      <w:start w:val="1"/>
      <w:numFmt w:val="japaneseCounting"/>
      <w:lvlText w:val="（%1）"/>
      <w:lvlJc w:val="left"/>
      <w:pPr>
        <w:ind w:left="1200" w:hanging="720"/>
      </w:pPr>
      <w:rPr>
        <w:rFonts w:eastAsia="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2" w15:restartNumberingAfterBreak="0">
    <w:nsid w:val="59A558C9"/>
    <w:multiLevelType w:val="multilevel"/>
    <w:tmpl w:val="DBA0308A"/>
    <w:styleLink w:val="WWNum14"/>
    <w:lvl w:ilvl="0">
      <w:start w:val="1"/>
      <w:numFmt w:val="japaneseCounting"/>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3" w15:restartNumberingAfterBreak="0">
    <w:nsid w:val="631D1B8D"/>
    <w:multiLevelType w:val="multilevel"/>
    <w:tmpl w:val="4BCC1F46"/>
    <w:styleLink w:val="WWNum27"/>
    <w:lvl w:ilvl="0">
      <w:start w:val="1"/>
      <w:numFmt w:val="decimal"/>
      <w:lvlText w:val="%1."/>
      <w:lvlJc w:val="left"/>
      <w:pPr>
        <w:ind w:left="1680" w:hanging="480"/>
      </w:p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24" w15:restartNumberingAfterBreak="0">
    <w:nsid w:val="68566737"/>
    <w:multiLevelType w:val="multilevel"/>
    <w:tmpl w:val="E384F488"/>
    <w:styleLink w:val="WWNum25"/>
    <w:lvl w:ilvl="0">
      <w:start w:val="1"/>
      <w:numFmt w:val="japaneseCounting"/>
      <w:lvlText w:val="（%1）"/>
      <w:lvlJc w:val="left"/>
      <w:pPr>
        <w:ind w:left="1200" w:hanging="720"/>
      </w:pPr>
      <w:rPr>
        <w:rFonts w:eastAsia="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5" w15:restartNumberingAfterBreak="0">
    <w:nsid w:val="6E4C3B8A"/>
    <w:multiLevelType w:val="multilevel"/>
    <w:tmpl w:val="A4221D08"/>
    <w:styleLink w:val="WWNum16"/>
    <w:lvl w:ilvl="0">
      <w:start w:val="1"/>
      <w:numFmt w:val="japaneseCounting"/>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6" w15:restartNumberingAfterBreak="0">
    <w:nsid w:val="75075195"/>
    <w:multiLevelType w:val="multilevel"/>
    <w:tmpl w:val="07800996"/>
    <w:styleLink w:val="WWNum19"/>
    <w:lvl w:ilvl="0">
      <w:start w:val="1"/>
      <w:numFmt w:val="decimal"/>
      <w:lvlText w:val="%1."/>
      <w:lvlJc w:val="left"/>
      <w:pPr>
        <w:ind w:left="1680" w:hanging="480"/>
      </w:p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27" w15:restartNumberingAfterBreak="0">
    <w:nsid w:val="75564871"/>
    <w:multiLevelType w:val="multilevel"/>
    <w:tmpl w:val="D8442C96"/>
    <w:styleLink w:val="WWNum2"/>
    <w:lvl w:ilvl="0">
      <w:start w:val="1"/>
      <w:numFmt w:val="japaneseCounting"/>
      <w:lvlText w:val="（%1）"/>
      <w:lvlJc w:val="left"/>
      <w:pPr>
        <w:ind w:left="1200" w:hanging="720"/>
      </w:pPr>
      <w:rPr>
        <w:rFonts w:ascii="標楷體" w:eastAsia="標楷體" w:hAnsi="標楷體"/>
        <w:sz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 w15:restartNumberingAfterBreak="0">
    <w:nsid w:val="7BC2048F"/>
    <w:multiLevelType w:val="multilevel"/>
    <w:tmpl w:val="21A4E144"/>
    <w:styleLink w:val="WWNum3"/>
    <w:lvl w:ilvl="0">
      <w:start w:val="1"/>
      <w:numFmt w:val="decimal"/>
      <w:lvlText w:val="%1."/>
      <w:lvlJc w:val="left"/>
      <w:pPr>
        <w:ind w:left="1680" w:hanging="480"/>
      </w:p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num w:numId="1">
    <w:abstractNumId w:val="18"/>
  </w:num>
  <w:num w:numId="2">
    <w:abstractNumId w:val="1"/>
  </w:num>
  <w:num w:numId="3">
    <w:abstractNumId w:val="27"/>
  </w:num>
  <w:num w:numId="4">
    <w:abstractNumId w:val="28"/>
  </w:num>
  <w:num w:numId="5">
    <w:abstractNumId w:val="21"/>
  </w:num>
  <w:num w:numId="6">
    <w:abstractNumId w:val="19"/>
  </w:num>
  <w:num w:numId="7">
    <w:abstractNumId w:val="12"/>
  </w:num>
  <w:num w:numId="8">
    <w:abstractNumId w:val="2"/>
  </w:num>
  <w:num w:numId="9">
    <w:abstractNumId w:val="11"/>
  </w:num>
  <w:num w:numId="10">
    <w:abstractNumId w:val="6"/>
  </w:num>
  <w:num w:numId="11">
    <w:abstractNumId w:val="5"/>
  </w:num>
  <w:num w:numId="12">
    <w:abstractNumId w:val="8"/>
  </w:num>
  <w:num w:numId="13">
    <w:abstractNumId w:val="14"/>
  </w:num>
  <w:num w:numId="14">
    <w:abstractNumId w:val="17"/>
  </w:num>
  <w:num w:numId="15">
    <w:abstractNumId w:val="22"/>
  </w:num>
  <w:num w:numId="16">
    <w:abstractNumId w:val="13"/>
  </w:num>
  <w:num w:numId="17">
    <w:abstractNumId w:val="25"/>
  </w:num>
  <w:num w:numId="18">
    <w:abstractNumId w:val="4"/>
  </w:num>
  <w:num w:numId="19">
    <w:abstractNumId w:val="7"/>
  </w:num>
  <w:num w:numId="20">
    <w:abstractNumId w:val="26"/>
  </w:num>
  <w:num w:numId="21">
    <w:abstractNumId w:val="0"/>
  </w:num>
  <w:num w:numId="22">
    <w:abstractNumId w:val="15"/>
  </w:num>
  <w:num w:numId="23">
    <w:abstractNumId w:val="9"/>
  </w:num>
  <w:num w:numId="24">
    <w:abstractNumId w:val="10"/>
  </w:num>
  <w:num w:numId="25">
    <w:abstractNumId w:val="16"/>
  </w:num>
  <w:num w:numId="26">
    <w:abstractNumId w:val="24"/>
  </w:num>
  <w:num w:numId="27">
    <w:abstractNumId w:val="20"/>
  </w:num>
  <w:num w:numId="28">
    <w:abstractNumId w:val="23"/>
  </w:num>
  <w:num w:numId="29">
    <w:abstractNumId w:val="3"/>
  </w:num>
  <w:num w:numId="30">
    <w:abstractNumId w:val="27"/>
    <w:lvlOverride w:ilvl="0">
      <w:startOverride w:val="1"/>
    </w:lvlOverride>
  </w:num>
  <w:num w:numId="31">
    <w:abstractNumId w:val="11"/>
    <w:lvlOverride w:ilvl="0">
      <w:startOverride w:val="1"/>
    </w:lvlOverride>
  </w:num>
  <w:num w:numId="32">
    <w:abstractNumId w:val="10"/>
    <w:lvlOverride w:ilvl="0">
      <w:startOverride w:val="1"/>
    </w:lvlOverride>
  </w:num>
  <w:num w:numId="33">
    <w:abstractNumId w:val="16"/>
    <w:lvlOverride w:ilvl="0">
      <w:startOverride w:val="1"/>
    </w:lvlOverride>
  </w:num>
  <w:num w:numId="34">
    <w:abstractNumId w:val="20"/>
    <w:lvlOverride w:ilvl="0">
      <w:startOverride w:val="1"/>
    </w:lvlOverride>
  </w:num>
  <w:num w:numId="35">
    <w:abstractNumId w:val="2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
  <w:rsids>
    <w:rsidRoot w:val="0097568B"/>
    <w:rsid w:val="00410520"/>
    <w:rsid w:val="007A6812"/>
    <w:rsid w:val="009756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EE5645-2FEE-4A84-BE03-B6137D30C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rFonts w:ascii="新細明體" w:hAnsi="新細明體" w:cs="新細明體"/>
      <w:kern w:val="0"/>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List Paragraph"/>
    <w:basedOn w:val="Standard"/>
    <w:pPr>
      <w:widowControl w:val="0"/>
      <w:ind w:left="480"/>
    </w:pPr>
    <w:rPr>
      <w:rFonts w:ascii="Calibri" w:eastAsia="Calibri" w:hAnsi="Calibri" w:cs="Times New Roman"/>
      <w:kern w:val="3"/>
      <w:szCs w:val="22"/>
    </w:rPr>
  </w:style>
  <w:style w:type="paragraph" w:styleId="a6">
    <w:name w:val="Balloon Text"/>
    <w:basedOn w:val="Standard"/>
    <w:rPr>
      <w:rFonts w:ascii="Calibri Light" w:hAnsi="Calibri Light" w:cs="Tahoma"/>
      <w:sz w:val="18"/>
      <w:szCs w:val="18"/>
    </w:rPr>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character" w:customStyle="1" w:styleId="a9">
    <w:name w:val="註解方塊文字 字元"/>
    <w:basedOn w:val="a0"/>
    <w:rPr>
      <w:rFonts w:ascii="Calibri Light" w:eastAsia="新細明體" w:hAnsi="Calibri Light" w:cs="Tahoma"/>
      <w:kern w:val="0"/>
      <w:sz w:val="18"/>
      <w:szCs w:val="18"/>
    </w:rPr>
  </w:style>
  <w:style w:type="character" w:customStyle="1" w:styleId="aa">
    <w:name w:val="頁首 字元"/>
    <w:basedOn w:val="a0"/>
    <w:rPr>
      <w:rFonts w:ascii="新細明體" w:eastAsia="新細明體" w:hAnsi="新細明體" w:cs="新細明體"/>
      <w:kern w:val="0"/>
      <w:sz w:val="20"/>
      <w:szCs w:val="20"/>
    </w:rPr>
  </w:style>
  <w:style w:type="character" w:customStyle="1" w:styleId="ab">
    <w:name w:val="頁尾 字元"/>
    <w:basedOn w:val="a0"/>
    <w:rPr>
      <w:rFonts w:ascii="新細明體" w:eastAsia="新細明體" w:hAnsi="新細明體" w:cs="新細明體"/>
      <w:kern w:val="0"/>
      <w:sz w:val="20"/>
      <w:szCs w:val="20"/>
    </w:rPr>
  </w:style>
  <w:style w:type="character" w:customStyle="1" w:styleId="ListLabel1">
    <w:name w:val="ListLabel 1"/>
    <w:rPr>
      <w:rFonts w:ascii="標楷體" w:eastAsia="標楷體" w:hAnsi="標楷體" w:cs="標楷體"/>
      <w:sz w:val="28"/>
    </w:rPr>
  </w:style>
  <w:style w:type="character" w:customStyle="1" w:styleId="ListLabel2">
    <w:name w:val="ListLabel 2"/>
    <w:rPr>
      <w:rFonts w:eastAsia="標楷體"/>
    </w:rPr>
  </w:style>
  <w:style w:type="character" w:customStyle="1" w:styleId="ListLabel3">
    <w:name w:val="ListLabel 3"/>
    <w:rPr>
      <w:rFonts w:eastAsia="標楷體"/>
    </w:rPr>
  </w:style>
  <w:style w:type="character" w:customStyle="1" w:styleId="ListLabel4">
    <w:name w:val="ListLabel 4"/>
    <w:rPr>
      <w:lang w:val="en-US"/>
    </w:rPr>
  </w:style>
  <w:style w:type="character" w:customStyle="1" w:styleId="ListLabel5">
    <w:name w:val="ListLabel 5"/>
    <w:rPr>
      <w:lang w:val="en-US"/>
    </w:rPr>
  </w:style>
  <w:style w:type="character" w:customStyle="1" w:styleId="ListLabel6">
    <w:name w:val="ListLabel 6"/>
    <w:rPr>
      <w:lang w:val="en-US"/>
    </w:rPr>
  </w:style>
  <w:style w:type="character" w:customStyle="1" w:styleId="ListLabel7">
    <w:name w:val="ListLabel 7"/>
    <w:rPr>
      <w:lang w:val="en-US"/>
    </w:rPr>
  </w:style>
  <w:style w:type="character" w:customStyle="1" w:styleId="ListLabel8">
    <w:name w:val="ListLabel 8"/>
    <w:rPr>
      <w:lang w:val="en-US"/>
    </w:rPr>
  </w:style>
  <w:style w:type="character" w:customStyle="1" w:styleId="ListLabel9">
    <w:name w:val="ListLabel 9"/>
    <w:rPr>
      <w:color w:val="000000"/>
      <w:lang w:val="en-US"/>
    </w:rPr>
  </w:style>
  <w:style w:type="character" w:customStyle="1" w:styleId="ListLabel10">
    <w:name w:val="ListLabel 10"/>
    <w:rPr>
      <w:rFonts w:ascii="標楷體" w:eastAsia="標楷體" w:hAnsi="標楷體" w:cs="標楷體"/>
      <w:sz w:val="28"/>
    </w:rPr>
  </w:style>
  <w:style w:type="character" w:customStyle="1" w:styleId="ListLabel11">
    <w:name w:val="ListLabel 11"/>
    <w:rPr>
      <w:rFonts w:ascii="標楷體" w:eastAsia="標楷體" w:hAnsi="標楷體" w:cs="標楷體"/>
      <w:sz w:val="28"/>
    </w:rPr>
  </w:style>
  <w:style w:type="character" w:customStyle="1" w:styleId="ListLabel12">
    <w:name w:val="ListLabel 12"/>
    <w:rPr>
      <w:rFonts w:eastAsia="標楷體"/>
    </w:rPr>
  </w:style>
  <w:style w:type="character" w:customStyle="1" w:styleId="ListLabel13">
    <w:name w:val="ListLabel 13"/>
    <w:rPr>
      <w:rFonts w:ascii="標楷體" w:eastAsia="標楷體" w:hAnsi="標楷體" w:cs="標楷體"/>
      <w:sz w:val="28"/>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蔡孟愷</dc:creator>
  <cp:lastModifiedBy>Windows 使用者</cp:lastModifiedBy>
  <cp:revision>3</cp:revision>
  <cp:lastPrinted>2022-06-27T00:14:00Z</cp:lastPrinted>
  <dcterms:created xsi:type="dcterms:W3CDTF">2022-07-25T01:45:00Z</dcterms:created>
  <dcterms:modified xsi:type="dcterms:W3CDTF">2022-07-25T01:45:00Z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